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jc w:val="center"/>
      </w:pPr>
      <w:r>
        <w:rPr>
          <w:b/>
          <w:sz w:val="36"/>
        </w:rPr>
        <w:t>電子取引データの訂正及び削除の防止に関する事務処理規程</w:t>
      </w:r>
    </w:p>
    <w:p>
      <w:r>
        <w:rPr>
          <w:sz w:val="22"/>
        </w:rPr>
        <w:t>（目的）</w:t>
      </w:r>
    </w:p>
    <w:p>
      <w:r>
        <w:rPr>
          <w:sz w:val="22"/>
        </w:rPr>
        <w:t>第１条 本規程は、電子計算機を使用して作成する国税関係帳簿書類の保存方法等の特例に関する法律（以下「電子帳簿保存法」という。）第７条に規定する電子取引の取引情報に係る電磁的記録の保存等について、取引情報の訂正及び削除の防止に関する事務処理手続を定め、もって適正な税務処理及び真実性の確保を図ることを目的とする。</w:t>
      </w:r>
    </w:p>
    <w:p>
      <w:r>
        <w:rPr>
          <w:sz w:val="22"/>
        </w:rPr>
        <w:t>（適用範囲）</w:t>
      </w:r>
    </w:p>
    <w:p>
      <w:r>
        <w:rPr>
          <w:sz w:val="22"/>
        </w:rPr>
        <w:t>第２条 本規程は、当社において授受するすべての電子取引（電子メール添付のPDF、Webサイトからダウンロードした領収書、クラウド請求システム、EDI取引等）に係る取引情報に適用する。</w:t>
      </w:r>
    </w:p>
    <w:p>
      <w:r>
        <w:rPr>
          <w:sz w:val="22"/>
        </w:rPr>
        <w:t>（管理責任者）</w:t>
      </w:r>
    </w:p>
    <w:p>
      <w:r>
        <w:rPr>
          <w:sz w:val="22"/>
        </w:rPr>
        <w:t>第３条 電子取引データの適正な保存及び運用を管理するため、電子取引管理責任者（以下「管理責任者」という。）を置く。管理責任者は、経理部長をもって充てる。</w:t>
      </w:r>
    </w:p>
    <w:p>
      <w:r>
        <w:rPr>
          <w:sz w:val="22"/>
        </w:rPr>
        <w:t>（取引データの受領及び保存手順）</w:t>
      </w:r>
    </w:p>
    <w:p>
      <w:r>
        <w:rPr>
          <w:sz w:val="22"/>
        </w:rPr>
        <w:t>第４条 取引データの受領者は、受領後遅滞なく、管理責任者が指定する保存用サーバーまたはクラウドERP（KAINAI等）にデータを格納しなければならない。</w:t>
      </w:r>
    </w:p>
    <w:p>
      <w:r>
        <w:rPr>
          <w:sz w:val="22"/>
        </w:rPr>
        <w:t>２ 格納に際しては、検索要件を充足するため、「取引年月日_取引先名_取引金額」の規則に従いファイル名を付与するか、または索引簿への登録を行わなければならない。</w:t>
      </w:r>
    </w:p>
    <w:p>
      <w:r>
        <w:rPr>
          <w:sz w:val="22"/>
        </w:rPr>
        <w:t>（訂正及び削除の原則禁止）</w:t>
      </w:r>
    </w:p>
    <w:p>
      <w:r>
        <w:rPr>
          <w:sz w:val="22"/>
        </w:rPr>
        <w:t>第５条 保存された取引データは、原則として訂正及び削除を行ってはならない。</w:t>
      </w:r>
    </w:p>
    <w:p>
      <w:r>
        <w:rPr>
          <w:sz w:val="22"/>
        </w:rPr>
        <w:t>２ やむを得ない事由により取引データを訂正または削除する必要が生じた場合は、所定の「電子取引データ訂正・削除申請書」を管理責任者に提出し、その承認を得なければならない。</w:t>
      </w:r>
    </w:p>
    <w:p>
      <w:r>
        <w:rPr>
          <w:sz w:val="22"/>
        </w:rPr>
        <w:t>（附則）</w:t>
      </w:r>
    </w:p>
    <w:p>
      <w:r>
        <w:rPr>
          <w:sz w:val="22"/>
        </w:rPr>
        <w:t>本規程は、令和６年１月１日より施行する。</w:t>
      </w:r>
    </w:p>
  </w:body>
</w:document>
</file>